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国考教师资格证《综合素质》幼儿园笔试模拟题</w:t>
      </w:r>
      <w:r>
        <w:rPr>
          <w:rFonts w:hint="eastAsia" w:asciiTheme="minorEastAsia" w:hAnsiTheme="minorEastAsia" w:eastAsiaTheme="minorEastAsia"/>
          <w:sz w:val="24"/>
          <w:szCs w:val="24"/>
          <w:lang w:eastAsia="zh-CN"/>
        </w:rPr>
        <w:t>二</w:t>
      </w:r>
      <w:bookmarkStart w:id="0" w:name="_GoBack"/>
      <w:bookmarkEnd w:id="0"/>
      <w:r>
        <w:rPr>
          <w:rFonts w:hint="eastAsia" w:asciiTheme="minorEastAsia" w:hAnsiTheme="minorEastAsia" w:eastAsiaTheme="minorEastAsia"/>
          <w:sz w:val="24"/>
          <w:szCs w:val="24"/>
        </w:rPr>
        <w:t>答案解析</w:t>
      </w:r>
    </w:p>
    <w:p>
      <w:pPr>
        <w:pStyle w:val="3"/>
        <w:spacing w:before="0" w:after="156" w:after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一、单项选择题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选</w:t>
      </w:r>
      <w:r>
        <w:rPr>
          <w:rFonts w:hint="eastAsia" w:asciiTheme="minorEastAsia" w:hAnsiTheme="minorEastAsia" w:eastAsiaTheme="minorEastAsia"/>
        </w:rPr>
        <w:t>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【解析】本题考查对素质教育的理解。</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素质教育以面向全体学生，全面提高学生的基本素质为根本宗旨。素质教育以注重培养受教育者的态度、能力，促进学生在德智体等方面生动活泼、主动地发展为基本特征。</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学生在思想上具有鲜明的独立性和自主性。作为教师必须尊重学生的个体独立性，不能把自己的个人意志强加于学生的思想之上，要把学生当做不以自己的意志为转移的客观存在，当作具有独立性的人来看待，因势利导地施加教育，推动学生个性的健康成长。故正确答案为C。</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.选</w:t>
      </w:r>
      <w:r>
        <w:rPr>
          <w:rFonts w:asciiTheme="minorEastAsia" w:hAnsiTheme="minorEastAsia" w:eastAsiaTheme="minorEastAsia"/>
        </w:rPr>
        <w:t>A</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【解析】本题考查考生的素质教育的内涵。素质教育强调“学生不是接受知识的容器，而是未来文明的创造者，”学生在教学活动中是学习的主体，而并非被动地接受知识。故正确答案是A。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素质教育以全面提高全体学生的基本素质为根本目的，但全面发展并不意味着所有学生的平等发展，或每个学生各方面的平均发展。这是对全面发展的曲解。素质教育要面向全体学生，所以不应具有“选择性”与“淘汰性”。</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4.选A。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现代教师角色转变主要体现为由知识的传授者转变为学生学习的引导者和学生发展的促进者；从课程的忠实执行者转变为课程的建设者和开发者；从“教书匠”转变为教育教学的研究者和反思的实践者。本题为选非题。故答案为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5.选</w:t>
      </w:r>
      <w:r>
        <w:rPr>
          <w:rFonts w:asciiTheme="minorEastAsia" w:hAnsiTheme="minorEastAsia" w:eastAsiaTheme="minorEastAsia"/>
        </w:rPr>
        <w:t>B</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对《学生伤害事故处理办法》的相关规定。依据《学生伤害事故处理办法》第二章第十三条的规定：“下列情形下发生的造成学生人身损害后果的事故，学校行为并无不当的，不承担事故责任；事故责任应当按有关法律法规或者其他有关规定认定：(1)在学生自行上学、放学、返校、离校途中发生的；(2)在学生自行外出或者擅自离校期间发生的；(3)在放学后、节假日或者假期等学校工作时间以外，学生自行滞留学校或者自行到校发生的；(4)其他在学校管理职责范围外发生的。”题干中事件发生的时间为星期天，地点是在学校教学之外的，并且是学生自发组织，因此学校无承担责任，应该由小娟的监护人父母来承担相应的责任。B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A、D项：因为本案发生在校外，且是节假日，事前没有告知学校及班主任，是在学校管理职责外发生的，学校行为并无不当，因此学校和班主任不承担责任，与题干不符，排除。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C项：案例中学生义务、自愿的去帮助孤寡老人导致受伤骨折，孤寡老人不需要承担的责任。与题干不符，排除。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6.选C。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主要考查的是《中小学教师职业道德规范》中的第三条。《中小学教师职业道德规范》第三条关爱学生中的禁行性要求：不讽刺、挖苦、歧视学生，不体罚或变相体罚学生。另外，《义务教育法》第四章（教师）第二十九条条款规定：教师应当尊重学生的人格，不得歧视学生，不得对学生实施体罚、变相体罚或者其他侮辱人格尊严的行为，不得侵犯学生合法权益。根据题干描述，案例中的老师很明显没有做到关爱学生，间接造成这一悲惨事件。C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A项：教师要爱国守法，全面贯彻党的教育方针，这属于《中小学教师职业道德规范》第一条中的倡导性要求。与题干不符，排除。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B项：教师要爱岗敬业，忠诚于人民的教育事业，这属于《中小学教师职业道德规范》第二条中的倡导性要求。与题干不符，排除。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D项：教师要为人师表，语言规范，举止文明，这属于《中小学教师职业道德规范》第五条中的倡导性要求。与题干不符，排除。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故正确答案为C。 </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7.选</w:t>
      </w:r>
      <w:r>
        <w:rPr>
          <w:rFonts w:hint="eastAsia" w:asciiTheme="minorEastAsia" w:hAnsiTheme="minorEastAsia" w:eastAsiaTheme="minorEastAsia"/>
        </w:rPr>
        <w:t>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学生伤害事故处理办法》的相关规定。《学生伤害事故处理办法》第二章第九条规定：“因下列情形之一造成的学生伤害事故，学校应当依法承担相应的责任：（一）学校的校舍、场地、其他公共设施，以及学校提供给学生使用的学具、教育教学和生活设施、设备不符合国家规定的标准，或者有明显不安全因素的。”《学生伤害事故处理办法》第二章第十条规定：“学生或者未成年学生监护人由于过错，有下列情形之一，造成学生伤害事故，应当依法承担相应的责任：（一）学生违反法律法规的规定，违反社会公共行为准则、学校的规章制度或者纪律，实施按其年龄和认知能力应当知道具有危险或者可能危及他人的行为的”；《学生伤害事故处理办法》第四章第二十六条规定：“学校对学生伤害事故负有责任的，根据责任大小，适当予以经济赔偿，但不承担解决户口、住房、就业等与救助受伤害学生、赔偿相应经济损失无直接关系的其他事项。”《学生伤害事故处理办法》第五章第三十二条规定：“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题干中学校违反了《学生伤害事故处理办法》的有关规定，没有履行保护未成年学生不受人身损害的责任和义务，侵犯了学生的生命健康权。因此，学校应承担对受伤学生的民事赔偿责任，教育行政部门应依法给予学校负责人和事故直接责任人员行政处分。喊“地震了”的学生也应负有一定的法律责任，学校应对其进行批评教育，并予以相应的纪律处分。①④两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②：该事件没有人员死亡，没有触犯刑律，学校不承担刑事责任。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③：学校负责人应接受教育行政部门给予的行政处分，民事赔偿由学校承担。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8.选B。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学生的权利。隐私权指学生有权要求他人尊重自己个人的、不愿或不便让他人获知或干涉的、与公共利益无关的信息或生活领域。如教师不得随意宣扬学生的缺点或隐私，不得随意私拆、毁弃学生的信件、日记等。B 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A、C、D 三项与题干不符，排除。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 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.选</w:t>
      </w:r>
      <w:r>
        <w:rPr>
          <w:rFonts w:hint="eastAsia" w:asciiTheme="minorEastAsia" w:hAnsiTheme="minorEastAsia" w:eastAsiaTheme="minorEastAsia"/>
        </w:rPr>
        <w:t>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教育法律法规的条文。为贯彻落实党的十八大精神，进一步推动《国家中长期教育改革和发展规划纲要（2010--2020年）》实施，在各级各类学校深入贯彻科学发展观，全面落实依法治国要求，大力推进依法治校，建设现代学校制度，制定《全面推进依法治校实施纲要》。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开展普法教育。促进师生员工提高法律素质和公民意识，自觉知法守法，遵守公共生活秩序，做遵纪守法的楷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因此，①②③④⑤正确。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0.选</w:t>
      </w:r>
      <w:r>
        <w:rPr>
          <w:rFonts w:hint="eastAsia" w:asciiTheme="minorEastAsia" w:hAnsiTheme="minorEastAsia" w:eastAsiaTheme="minorEastAsia"/>
        </w:rPr>
        <w:t>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学生伤害事故处理办法》第十四条规定因学校教师或者其他工作人员与其职务无关的个人行为，或者因学生、教师及其他个人故意实施的违法犯罪行为，造成学生人身损害的，由致害人依法承担相应的责任。故本题应当选A。</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【解析】《儿童权利公约》第六条规定，（1）缔约国确认每个儿童均有固有的生命权。（2）缔约国应最大限度地确保儿童的存活与发展。</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12.选C。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对学生权利的理解。隐私权是指自然人享有的私人生活安宁与私人信息秘密依法受到保护，不被他人非法侵扰、知悉、收集、利用和公开的一种人格权，而且权利主体对他人在何种程度上可以介入自己的私生活，对自己的隐私是否向他人公开隐私以及公开的人群范围和程度等具有决定权。题干中，班主任对林某的调皮缺乏耐心教育，竟然泄露林某的隐私，在全班同学面前说出林某的父亲进监狱这个事情，给林某带来了巨大的伤害，侵犯了林某的隐私权。C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13.选B。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关爱学生——师德的灵魂。《中小学教师职业道德规范》规定，关爱学生应该做到：关心爱护全体学生，尊重学生人格，平等公正对待学生。对学生严慈相济，做学生良师益友。保护学生安全，关心学生健康，维护学生权益。不讽刺、挖苦、歧视学生，不体罚或变相体罚学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A项：《中小学教师职业道德规范》规定：关心爱护全体学生，尊重学生人格，平等公正对待学生。包括成绩差的学生和思想品德欠缺的学生。与题干要求不符，排除。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B项：《中小学教师职业道德规范》规定：不讽刺、挖苦、歧视学生，不体罚或变相体罚学生。与题干要求相符，当选。</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C项：《中小学教师职业道德规范》规定：关心爱护全体学生，尊重学生人格，平等公正对待学生。不讽刺、挖苦、歧视学生，不体罚或变相体罚学生。与题干要求不符，排除。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D项：《中小学教师职业道德规范》规定：对学生严慈相济，做学生良师益友。与题干要求不符，排除。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本题为选非题，故正确答案为</w:t>
      </w:r>
      <w:r>
        <w:rPr>
          <w:rFonts w:asciiTheme="minorEastAsia" w:hAnsiTheme="minorEastAsia" w:eastAsiaTheme="minorEastAsia"/>
        </w:rPr>
        <w:t>B</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14.选C。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终身学习。终身学习要求崇尚科学精神，树立终身学习理念，拓宽知识视野，更新知识结构。潜心钻研业务，勇于探索创新，不断提高专业素养和教育教学水平。刘老师经常与校内外同行交流教学心得，攻读教育硕士等，是刘老师在不断拓宽知识视野，更新知识结构，符合终身学习的要求。C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A项：这是教书育人的要求。与题干不符，排除。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B、D两项：这些是为人师表的要求。与题干不符，排除。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5.选</w:t>
      </w:r>
      <w:r>
        <w:rPr>
          <w:rFonts w:hint="eastAsia" w:asciiTheme="minorEastAsia" w:hAnsiTheme="minorEastAsia" w:eastAsiaTheme="minorEastAsia"/>
        </w:rPr>
        <w:t>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教师职业道德规范。2008年，教育部颁布了《中小学教师职业道德规范》2008年修订版，这是我国继1997年以后首次对规范进行修订。与旧版本相比，新规范从原来的8条缩改为6条，在保留原来基本内容的基础上，新增了一些条目。其中，最引人注目的是“保护学生安全”这一条。C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1997年的《中小学教师职业道德规范》中关于关爱学生的具备表述为：关心爱护全体学生，尊重学生的人格，平等、公正对待学生。对学生严格要求，耐心教导，不讽刺、挖苦、歧视学生，不体罚或变相体罚学生，保护学生合法权益，促进学生全面、主动、健康发展。由此可知A、B、D三项不属于新增内容，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16.选D。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对《中小学教师职业道德规范》的理解。教师职业道德是教师在从事教育劳动时所应遵循的行为规范和必备的品德的总和，是调节教师与他人、教师与社会等关系时所必须遵守的基本道德规范和行为准则，以及在此基础上所表现出来的道德观念、情操和品质。它是一般社会道德在教师职业中的特殊体现。教师职业道德是教师在从业过程中进行道德选择、道德评价、道德教育和道德行为等实践活动所必须遵循的道德规范和要求，它反映了教师的职业义务，体现了教师所担负的道德责任。题干中的这位年轻教师具有忠于教育事业、关爱学生、为人师表、教育机智等教师职业道德。①②③④四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故正确答案为D。</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17.选D</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【解析】本题可采用排除法。“一五”计划于1953年开始施行；三大改造于1956年底完成；“一国两制”提出于20世纪80年代初，且其是为解决祖国统一问题而提出的，A、B、C均排除。故选D。</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18.选B</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沈石溪，原名沈一鸣，最擅长动物小说。被称为“中国动物小说大王”。代表作品有：《猎狐》《第七条猎狗》《再被狐狸骗一次》《狼王梦》《白象家族》《斑羚飞渡》《最后一头战象》《一只猎雕的遭遇》《和乌鸦做邻居》《野犬女皇》、《鸟奴》、《混血豺王》《雪豹悲歌》等。《稻草人》的作者是叶圣陶。</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9.选</w:t>
      </w:r>
      <w:r>
        <w:rPr>
          <w:rFonts w:hint="eastAsia" w:asciiTheme="minorEastAsia" w:hAnsiTheme="minorEastAsia" w:eastAsiaTheme="minorEastAsia"/>
        </w:rPr>
        <w:t>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【解析】C项正确，水汽是水的气态形式，当水达到沸点时，水就变成水蒸气。常压下，水的最高温度是100摄氏度，因此常压下蒸汽电熨斗喷出的水汽温度不会超过100摄氏度。</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A项错误，数字电视是指通过接收数字电视信号来收看电视节目的一种电视类型，将数字电视信号转换成模拟信号的是数字电视机顶盒，不是数字电视。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B项错误，微波炉主要是利用微波的能量来加热事物。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D项错误，LED灯是利用发光二极管把电能转化为光能，白炽灯是把电能转化成热能和光能，且大部分是转化成热能。</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故正确答案为</w:t>
      </w:r>
      <w:r>
        <w:rPr>
          <w:rFonts w:hint="eastAsia" w:asciiTheme="minorEastAsia" w:hAnsiTheme="minorEastAsia" w:eastAsiaTheme="minorEastAsia"/>
        </w:rPr>
        <w:t>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20.选B。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B项正确，海水进入人体后，不仅不能向身体组织供水，相反还会夺取人体内的水分。人体内有一种“半可透薄膜”，这种薄膜有着特殊的性质：它允许水分子通过，却不允许溶解在水中的溶质（例如盐）分子通过。喝下海水之后，体内尿液中的盐分大大增加，人体组织中水分的压强远大于尿液中分子的压强，在半可透薄膜的作用下，人体中分子反而进入尿液中，最后随尿一起排出体外。饮用海水会使细胞内外渗透压不同而导致细胞脱水，危及生命。</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故正确答案为</w:t>
      </w:r>
      <w:r>
        <w:rPr>
          <w:rFonts w:hint="eastAsia" w:asciiTheme="minorEastAsia" w:hAnsiTheme="minorEastAsia" w:eastAsiaTheme="minorEastAsia"/>
        </w:rPr>
        <w:t>B。</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rPr>
        <w:t>.选</w:t>
      </w:r>
      <w:r>
        <w:rPr>
          <w:rFonts w:asciiTheme="minorEastAsia" w:hAnsiTheme="minorEastAsia" w:eastAsiaTheme="minorEastAsia"/>
        </w:rPr>
        <w:t>A</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【解析】根据材料信息并结合所学知识可知，这场革命指的是最先发生在英国的工业革命。18世纪60年代，哈格里夫斯发明珍妮机，被认为是工业革命开始的标志。</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22.</w:t>
      </w:r>
      <w:r>
        <w:rPr>
          <w:rFonts w:asciiTheme="minorEastAsia" w:hAnsiTheme="minorEastAsia" w:eastAsiaTheme="minorEastAsia"/>
        </w:rPr>
        <w:t>选B</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【解析】根据材料“约一百年前”“欧洲”可知是1914——1918年第一次世界大战。故选B。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23.选A。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【解析】“雪柳”是说明该美景如柳枝一般下垂，“玉树琼花”形容了一种晶莹剔透的白，只有与冰雪相关的雾凇才有如此景象。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24.选D。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【解析】材料中没有反映出英国进行的反法西斯侵略的战争是否晚于中国。故选D。其他三项均正确。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5</w:t>
      </w:r>
      <w:r>
        <w:rPr>
          <w:rFonts w:hint="eastAsia" w:asciiTheme="minorEastAsia" w:hAnsiTheme="minorEastAsia" w:eastAsiaTheme="minorEastAsia"/>
        </w:rPr>
        <w:t>.选C。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天舟一号货运飞船是由中国空间技术研究院（中国航天科技集团五院）研制的一款货运飞船，也是中国首个货运飞船。天舟一号具有与天宫二号空间实验室交会对接、实施推进剂在轨补加、开展空间科学实验和技术试验等功能。天舟一号任务则作为我国空间实验室任务的收官之战。天舟一号为全密封货运飞船，采用两舱构型，由货物舱和推进舱组成。全长10.6米，最大直径3.35米，起飞质量为12.91吨，太阳帆板展开后最大宽度14.9米，物资运输能力约6.5吨，推进剂补加能力约为2吨，具备独立飞行3个月的能力。</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故正确答案选</w:t>
      </w:r>
      <w:r>
        <w:rPr>
          <w:rFonts w:hint="eastAsia" w:asciiTheme="minorEastAsia" w:hAnsiTheme="minorEastAsia" w:eastAsiaTheme="minorEastAsia"/>
        </w:rPr>
        <w:t>C。</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26.选</w:t>
      </w:r>
      <w:r>
        <w:rPr>
          <w:rFonts w:hint="eastAsia" w:asciiTheme="minorEastAsia" w:hAnsiTheme="minorEastAsia" w:eastAsiaTheme="minorEastAsia"/>
        </w:rPr>
        <w:t>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【解析】APE是流行的数字音乐无损压缩格式之一，因出现较早，在全世界特别是中国大陆有着广泛的用户群。其余选项均为视频格式，故D选项与题干不符，排除。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27.选</w:t>
      </w:r>
      <w:r>
        <w:rPr>
          <w:rFonts w:hint="eastAsia" w:asciiTheme="minorEastAsia" w:hAnsiTheme="minorEastAsia" w:eastAsiaTheme="minorEastAsia"/>
        </w:rPr>
        <w:t>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w:t>
      </w:r>
      <w:r>
        <w:rPr>
          <w:rFonts w:asciiTheme="minorEastAsia" w:hAnsiTheme="minorEastAsia" w:eastAsiaTheme="minorEastAsia"/>
        </w:rPr>
        <w:t>岳老师想快速求出每个学生的期末总成绩</w:t>
      </w:r>
      <w:r>
        <w:rPr>
          <w:rFonts w:hint="eastAsia" w:asciiTheme="minorEastAsia" w:hAnsiTheme="minorEastAsia" w:eastAsiaTheme="minorEastAsia"/>
        </w:rPr>
        <w:t>，</w:t>
      </w:r>
      <w:r>
        <w:rPr>
          <w:rFonts w:asciiTheme="minorEastAsia" w:hAnsiTheme="minorEastAsia" w:eastAsiaTheme="minorEastAsia"/>
        </w:rPr>
        <w:t>运用到的是求和函数</w:t>
      </w:r>
      <w:r>
        <w:rPr>
          <w:rFonts w:hint="eastAsia" w:asciiTheme="minorEastAsia" w:hAnsiTheme="minorEastAsia" w:eastAsiaTheme="minorEastAsia"/>
        </w:rPr>
        <w:t>SUM，A、B选项是求和函数，三科成绩分别在D、</w:t>
      </w:r>
      <w:r>
        <w:rPr>
          <w:rFonts w:asciiTheme="minorEastAsia" w:hAnsiTheme="minorEastAsia" w:eastAsiaTheme="minorEastAsia"/>
        </w:rPr>
        <w:t>E</w:t>
      </w:r>
      <w:r>
        <w:rPr>
          <w:rFonts w:hint="eastAsia" w:asciiTheme="minorEastAsia" w:hAnsiTheme="minorEastAsia" w:eastAsiaTheme="minorEastAsia"/>
        </w:rPr>
        <w:t>、F三个单元格中，因此只需要对这三个单元格进行求和即可,故正确的函数为“</w:t>
      </w:r>
      <w:r>
        <w:rPr>
          <w:rFonts w:asciiTheme="minorEastAsia" w:hAnsiTheme="minorEastAsia" w:eastAsiaTheme="minorEastAsia"/>
        </w:rPr>
        <w:t>=SUM(D2:F2)</w:t>
      </w:r>
      <w:r>
        <w:rPr>
          <w:rFonts w:hint="eastAsia" w:asciiTheme="minorEastAsia" w:hAnsiTheme="minorEastAsia" w:eastAsiaTheme="minorEastAsia"/>
        </w:rPr>
        <w:t>”，而C、D选项是</w:t>
      </w:r>
      <w:r>
        <w:rPr>
          <w:rFonts w:asciiTheme="minorEastAsia" w:hAnsiTheme="minorEastAsia" w:eastAsiaTheme="minorEastAsia"/>
        </w:rPr>
        <w:t>AVERAGE则是求平均数函数</w:t>
      </w:r>
      <w:r>
        <w:rPr>
          <w:rFonts w:hint="eastAsia" w:asciiTheme="minorEastAsia" w:hAnsiTheme="minorEastAsia" w:eastAsiaTheme="minorEastAsia"/>
        </w:rPr>
        <w:t>，</w:t>
      </w:r>
      <w:r>
        <w:rPr>
          <w:rFonts w:asciiTheme="minorEastAsia" w:hAnsiTheme="minorEastAsia" w:eastAsiaTheme="minorEastAsia"/>
        </w:rPr>
        <w:t>与题意不符</w:t>
      </w:r>
      <w:r>
        <w:rPr>
          <w:rFonts w:hint="eastAsia" w:asciiTheme="minorEastAsia" w:hAnsiTheme="minorEastAsia" w:eastAsiaTheme="minorEastAsia"/>
        </w:rPr>
        <w:t>，</w:t>
      </w:r>
      <w:r>
        <w:rPr>
          <w:rFonts w:asciiTheme="minorEastAsia" w:hAnsiTheme="minorEastAsia" w:eastAsiaTheme="minorEastAsia"/>
        </w:rPr>
        <w:t>故</w:t>
      </w:r>
      <w:r>
        <w:rPr>
          <w:rFonts w:hint="eastAsia" w:asciiTheme="minorEastAsia" w:hAnsiTheme="minorEastAsia" w:eastAsiaTheme="minorEastAsia"/>
        </w:rPr>
        <w:t>C、D选项排除。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故正确选项是</w:t>
      </w:r>
      <w:r>
        <w:rPr>
          <w:rFonts w:hint="eastAsia" w:asciiTheme="minorEastAsia" w:hAnsiTheme="minorEastAsia" w:eastAsiaTheme="minorEastAsia"/>
        </w:rPr>
        <w:t>A。</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28.选</w:t>
      </w:r>
      <w:r>
        <w:rPr>
          <w:rFonts w:hint="eastAsia" w:asciiTheme="minorEastAsia" w:hAnsiTheme="minorEastAsia" w:eastAsiaTheme="minorEastAsia"/>
        </w:rPr>
        <w:t>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【解析】数列数字持续增加，且数列后一项都与前一项的2倍和接近，故可考虑数列前面的项通过有关2倍的变化得到后面的项，1、2、5，这几个数字，不难发现1+</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2=5</w:t>
      </w:r>
      <w:r>
        <w:rPr>
          <w:rFonts w:hint="eastAsia" w:asciiTheme="minorEastAsia" w:hAnsiTheme="minorEastAsia" w:eastAsiaTheme="minorEastAsia"/>
        </w:rPr>
        <w:t>，</w:t>
      </w:r>
      <w:r>
        <w:rPr>
          <w:rFonts w:asciiTheme="minorEastAsia" w:hAnsiTheme="minorEastAsia" w:eastAsiaTheme="minorEastAsia"/>
        </w:rPr>
        <w:t>这种变化方式在后面也是成立的</w:t>
      </w:r>
      <w:r>
        <w:rPr>
          <w:rFonts w:hint="eastAsia" w:asciiTheme="minorEastAsia" w:hAnsiTheme="minorEastAsia" w:eastAsiaTheme="minorEastAsia"/>
        </w:rPr>
        <w:t>，2+</w:t>
      </w: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12</w:t>
      </w:r>
      <w:r>
        <w:rPr>
          <w:rFonts w:hint="eastAsia" w:asciiTheme="minorEastAsia" w:hAnsiTheme="minorEastAsia" w:eastAsiaTheme="minorEastAsia"/>
        </w:rPr>
        <w:t>、5+</w:t>
      </w:r>
      <w:r>
        <w:rPr>
          <w:rFonts w:asciiTheme="minorEastAsia" w:hAnsiTheme="minorEastAsia" w:eastAsiaTheme="minorEastAsia"/>
        </w:rPr>
        <w:t>12</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29.本题中的排列规律即是第一项</w:t>
      </w:r>
      <w:r>
        <w:rPr>
          <w:rFonts w:hint="eastAsia" w:asciiTheme="minorEastAsia" w:hAnsiTheme="minorEastAsia" w:eastAsiaTheme="minorEastAsia"/>
        </w:rPr>
        <w:t>+</w:t>
      </w:r>
      <w:r>
        <w:rPr>
          <w:rFonts w:asciiTheme="minorEastAsia" w:hAnsiTheme="minorEastAsia" w:eastAsiaTheme="minorEastAsia"/>
        </w:rPr>
        <w:t>第二项</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第三项</w:t>
      </w:r>
      <w:r>
        <w:rPr>
          <w:rFonts w:hint="eastAsia" w:asciiTheme="minorEastAsia" w:hAnsiTheme="minorEastAsia" w:eastAsiaTheme="minorEastAsia"/>
        </w:rPr>
        <w:t>，</w:t>
      </w:r>
      <w:r>
        <w:rPr>
          <w:rFonts w:asciiTheme="minorEastAsia" w:hAnsiTheme="minorEastAsia" w:eastAsiaTheme="minorEastAsia"/>
        </w:rPr>
        <w:t>运用这个规律</w:t>
      </w:r>
      <w:r>
        <w:rPr>
          <w:rFonts w:hint="eastAsia" w:asciiTheme="minorEastAsia" w:hAnsiTheme="minorEastAsia" w:eastAsiaTheme="minorEastAsia"/>
        </w:rPr>
        <w:t>，</w:t>
      </w:r>
      <w:r>
        <w:rPr>
          <w:rFonts w:asciiTheme="minorEastAsia" w:hAnsiTheme="minorEastAsia" w:eastAsiaTheme="minorEastAsia"/>
        </w:rPr>
        <w:t>则包括中的数字是</w:t>
      </w:r>
      <w:r>
        <w:rPr>
          <w:rFonts w:hint="eastAsia" w:asciiTheme="minorEastAsia" w:hAnsiTheme="minorEastAsia" w:eastAsiaTheme="minorEastAsia"/>
        </w:rPr>
        <w:t>12+</w:t>
      </w:r>
      <w:r>
        <w:rPr>
          <w:rFonts w:asciiTheme="minorEastAsia" w:hAnsiTheme="minorEastAsia" w:eastAsiaTheme="minorEastAsia"/>
        </w:rPr>
        <w:t>29</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70</w:t>
      </w:r>
      <w:r>
        <w:rPr>
          <w:rFonts w:hint="eastAsia" w:asciiTheme="minorEastAsia" w:hAnsiTheme="minorEastAsia" w:eastAsiaTheme="minorEastAsia"/>
        </w:rPr>
        <w:t>。</w:t>
      </w:r>
      <w:r>
        <w:rPr>
          <w:rFonts w:asciiTheme="minorEastAsia" w:hAnsiTheme="minorEastAsia" w:eastAsiaTheme="minorEastAsia"/>
        </w:rPr>
        <w:t>故正确答案为</w:t>
      </w:r>
      <w:r>
        <w:rPr>
          <w:rFonts w:hint="eastAsia" w:asciiTheme="minorEastAsia" w:hAnsiTheme="minorEastAsia" w:eastAsiaTheme="minorEastAsia"/>
        </w:rPr>
        <w:t>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9.选</w:t>
      </w:r>
      <w:r>
        <w:rPr>
          <w:rFonts w:hint="eastAsia" w:asciiTheme="minorEastAsia" w:hAnsiTheme="minorEastAsia" w:eastAsiaTheme="minorEastAsia"/>
        </w:rPr>
        <w:t>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可用排除法。由“持黑旗的球迷比天鹅队球迷人数多”可知，天鹅队队服不是黑色的，排除A、D两项；由“飞马队球迷与持黑旗的人数不等”可知，飞马队队服不是黑色的，排除C项。故正确答案为B。</w:t>
      </w:r>
    </w:p>
    <w:p>
      <w:pPr>
        <w:pStyle w:val="3"/>
        <w:spacing w:before="0" w:after="156" w:after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二、材料分析题</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30</w:t>
      </w:r>
      <w:r>
        <w:rPr>
          <w:rFonts w:hint="eastAsia" w:asciiTheme="minorEastAsia" w:hAnsiTheme="minorEastAsia" w:eastAsiaTheme="minorEastAsia"/>
          <w:szCs w:val="21"/>
        </w:rPr>
        <w:t>.【参考答案】</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树立科学的幼儿教育观，教师首先要热爱儿童、尊重儿童，但是对儿童的热爱不是溺爱，也不是凡事都包办代替。一方面，一味地包办代替其实是剥夺了幼儿成长的机会，所以才会出现一个月下来孩子们的自理能力没有进步的情况。另一方面，尊重儿童就应该相信儿童。但一味的包办代替却反映出教师对幼儿的不信任，不相信他们有潜力，能经过教育不断取得进步。这也与科学的幼儿教育观中要求尊重儿童是不相符的。</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31.【参考答案】</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小蕊捡到钱包不及时上交的行为是错误的，刘老师没有简单地批评了事，而是在充分了解情况后教育、帮助、关心小蕊，刘老师的做法是值得肯定的。</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首先，教师的</w:t>
      </w:r>
      <w:r>
        <w:rPr>
          <w:rFonts w:hint="eastAsia" w:cs="Tahoma" w:asciiTheme="minorEastAsia" w:hAnsiTheme="minorEastAsia" w:eastAsiaTheme="minorEastAsia"/>
          <w:szCs w:val="21"/>
        </w:rPr>
        <w:t>职</w:t>
      </w:r>
      <w:r>
        <w:rPr>
          <w:rFonts w:hint="eastAsia" w:asciiTheme="minorEastAsia" w:hAnsiTheme="minorEastAsia" w:eastAsiaTheme="minorEastAsia"/>
          <w:szCs w:val="21"/>
        </w:rPr>
        <w:t>业道德要求教师要关爱学生。材料中刘老师得知小蕊捡到钱包没有上交，没有简单地一味批评，而是在充分了解情况后，肯定小蕊在家庭生活中的优良表现，指出小蕊的错误，关心、帮助小蕊的学习和生活，体现了刘老师对小蕊的关爱，促进了小蕊全面、主动、健康地发展。</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其次，教师的职业道德要求教师要教书育人。材料中刘老师从小蕊的实际情况出发，抓住她的闪光点，因材施教，很快小蕊学习上和品德上都有了提高，这充分体现了刘老师的行为促进了小蕊的全面发展，取得了良好的育人效果。</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总的来看，在刘老师从得知小蕊的不良行为，到对小蕊进行家访，全面了解小蕊的情况，肯定优点指出缺点，</w:t>
      </w:r>
      <w:r>
        <w:rPr>
          <w:rFonts w:hint="eastAsia" w:cs="Tahoma" w:asciiTheme="minorEastAsia" w:hAnsiTheme="minorEastAsia" w:eastAsiaTheme="minorEastAsia"/>
          <w:szCs w:val="21"/>
        </w:rPr>
        <w:t>并</w:t>
      </w:r>
      <w:r>
        <w:rPr>
          <w:rFonts w:hint="eastAsia" w:asciiTheme="minorEastAsia" w:hAnsiTheme="minorEastAsia" w:eastAsiaTheme="minorEastAsia"/>
          <w:szCs w:val="21"/>
        </w:rPr>
        <w:t>在学习和生活上关心、帮助小蕊，促进小蕊德育、智育均衡发展，体现了刘老师优秀的职业道德，其中关键是教师要关爱学生。只有在全方位了解学生的基础上，才能采取最合理的做法，进行最佳的教育，取得良好的效果。</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w:t>
      </w:r>
      <w:r>
        <w:rPr>
          <w:rFonts w:hint="eastAsia" w:asciiTheme="minorEastAsia" w:hAnsiTheme="minorEastAsia" w:eastAsiaTheme="minorEastAsia"/>
          <w:szCs w:val="21"/>
        </w:rPr>
        <w:t>.【参考答案】</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（1）①人生的意义在于为来世做准备。②否认人生“必须”有什么意义（人生没有什么特殊的含义）。</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（2）①把精力集中在世俗的幸福，使我们不相信来世的幸福、涅槃的境界，从而导致我们缺乏宗教；②而缺乏宗教又反过来使得我们不相信来世的幸福和涅槃的境界，从而更专注于世俗的幸福。</w:t>
      </w:r>
    </w:p>
    <w:p>
      <w:pPr>
        <w:pStyle w:val="3"/>
        <w:spacing w:before="0" w:after="156" w:after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三、写作题</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33.【范文】</w:t>
      </w:r>
    </w:p>
    <w:p>
      <w:pPr>
        <w:widowControl/>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教师，请以读书为伴</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教育是一种深厚而灵动的“影响”。在教育场域中，教师的素养（包括人格、学识、技能）将直接而有力地影响学生的学习和成长，因此，教师在教育学生们多读书读好书的同时，自己要先做到以读书为伴。</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读书为伴，首先教师本身要有乐于读书的意识。当前中国遭遇“文化快餐”的影响。教师也不例外。不读原著，不从源头上去开掘；不读“闲书”，不从流域上去开拓。看似“博览”，实为“走马观花”，只见教的招式，不见教的风骨；只有别人的见解，没有自己的声音。现代教师除了善舞鼠标，速成教案，再不能“读书破万卷，下笔如有神”。这是“现代”的过错，还是教师的悲哀？“知之者不如好之者，好之者不如乐之者。”只有乐读才能好读，好读才会体验到读书乐。教师读书的理想状态是把读书当作生活的需要，把读书当作自家的事、享受的事。这样，教师才能变“独乐”为“众乐”，才能带领学生一起来读书，一起来分享并创造读书的快乐。</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以读书为伴，其次需要教育界重新审视教育，要解放教育，把教育的自由空间和创造权还给教师。</w:t>
      </w:r>
      <w:r>
        <w:rPr>
          <w:rFonts w:hint="eastAsia" w:cs="Tahoma" w:asciiTheme="minorEastAsia" w:hAnsiTheme="minorEastAsia" w:eastAsiaTheme="minorEastAsia"/>
          <w:szCs w:val="21"/>
        </w:rPr>
        <w:t>少</w:t>
      </w:r>
      <w:r>
        <w:rPr>
          <w:rFonts w:hint="eastAsia" w:asciiTheme="minorEastAsia" w:hAnsiTheme="minorEastAsia" w:eastAsiaTheme="minorEastAsia"/>
          <w:szCs w:val="21"/>
        </w:rPr>
        <w:t>些走过场的培训，多些沉浸式的学习；少些短期效应的苛求，多些长远教育的宽容。让教师根据成长需求（专业和特长），自由而自觉地学习。读一点想读的书，说一点想说的话，写一点想写的东西。这样的读书，才可能是教师神往的，也才可能是真正意义上的读书。另外，社会对教师过高的期待、行政部门对教师工作过多的考评，让现代教师“忙不胜忙”。许多的“忙”是因为我们思路上、策略上的“盲目”而造成的，是由于我们判断上、选择上的“茫然”而导致的。</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读书为伴，最主要是需要全社会共同努力还原教育的本来面目。当代的应试教育充斥着名利与金钱。淡名利，少功利，为兴趣而学，为理想而教。这本该是杏坛最本色也最自然的风景。遗憾的是，工业化把教育也推上了流水作业线。量化考核越来越把当今的教师锻造成技术机器和训练有素的应试辅导员。教育的自由与创造性在无可奈何和不知不觉中远去了，丧失了，掩埋了。这是教育的进步，还是教育的异化？文凭、职称、考试分数、升学率……一道道的“符咒”，让教师不得不屈从于现实的“硬道理”。从这点上看，当今教师的成长状态是不容乐观的，当今教师的读书处境是极其尴尬的。想读而没时间读，想不读却偏要硬着头皮读。只有改变这种现状，才能从根本上澄清教育之清流，使之回归教育的本质。</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读书，应为当今教师的自觉；读书，反哺着教书育人，催化着教育教学。它让教师与教育在浮躁与激荡中，始终保持文化人的良知和文化的高贵。书路永恒。书香校园不允许教师缺席！</w:t>
      </w:r>
    </w:p>
    <w:p>
      <w:pPr>
        <w:widowControl/>
        <w:spacing w:line="360" w:lineRule="auto"/>
        <w:jc w:val="left"/>
        <w:rPr>
          <w:rFonts w:asciiTheme="minorEastAsia" w:hAnsiTheme="minorEastAsia" w:eastAsiaTheme="minorEastAsia"/>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ail">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大标宋">
    <w:altName w:val="宋体"/>
    <w:panose1 w:val="02010609000101010101"/>
    <w:charset w:val="86"/>
    <w:family w:val="roman"/>
    <w:pitch w:val="default"/>
    <w:sig w:usb0="00000000" w:usb1="00000000" w:usb2="00000010" w:usb3="00000000" w:csb0="00040000" w:csb1="00000000"/>
  </w:font>
  <w:font w:name="微软大标宋">
    <w:altName w:val="黑体"/>
    <w:panose1 w:val="02010609000101010101"/>
    <w:charset w:val="86"/>
    <w:family w:val="roman"/>
    <w:pitch w:val="default"/>
    <w:sig w:usb0="00000000" w:usb1="00000000" w:usb2="00000010" w:usb3="00000000" w:csb0="0004000A" w:csb1="00000000"/>
  </w:font>
  <w:font w:name="Cambria Math">
    <w:panose1 w:val="02040503050406030204"/>
    <w:charset w:val="01"/>
    <w:family w:val="roman"/>
    <w:pitch w:val="default"/>
    <w:sig w:usb0="E00002FF" w:usb1="420024FF" w:usb2="00000000" w:usb3="00000000" w:csb0="2000019F"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ashSmallGap" w:color="auto" w:sz="4" w:space="1"/>
      </w:pBdr>
    </w:pPr>
    <w:r>
      <w:rPr>
        <w:sz w:val="18"/>
      </w:rPr>
      <w:drawing>
        <wp:inline distT="0" distB="0" distL="114300" distR="114300">
          <wp:extent cx="1381125" cy="460375"/>
          <wp:effectExtent l="0" t="0" r="9525" b="15875"/>
          <wp:docPr id="2" name="图片 2" descr="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LOGO"/>
                  <pic:cNvPicPr>
                    <a:picLocks noChangeAspect="1"/>
                  </pic:cNvPicPr>
                </pic:nvPicPr>
                <pic:blipFill>
                  <a:blip r:embed="rId1"/>
                  <a:stretch>
                    <a:fillRect/>
                  </a:stretch>
                </pic:blipFill>
                <pic:spPr>
                  <a:xfrm>
                    <a:off x="0" y="0"/>
                    <a:ext cx="1381125" cy="460375"/>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2">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writeProtection w:cryptProviderType="rsaFull" w:cryptAlgorithmClass="hash" w:cryptAlgorithmType="typeAny" w:cryptAlgorithmSid="4" w:cryptSpinCount="100000" w:hash="J1uR1Q/thL6mC/sqqH+TYO6IcdY=" w:salt="yaROdWlOqdObymNCZUp1eA=="/>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F03"/>
    <w:rsid w:val="09B318BB"/>
    <w:rsid w:val="13C26214"/>
    <w:rsid w:val="15F05009"/>
    <w:rsid w:val="2CC31F03"/>
    <w:rsid w:val="34980701"/>
    <w:rsid w:val="50593954"/>
    <w:rsid w:val="663C4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9">
    <w:name w:val="annotation reference"/>
    <w:basedOn w:val="8"/>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spacing w:line="240" w:lineRule="atLeast"/>
    </w:pPr>
    <w:rPr>
      <w:rFonts w:ascii="Times New Roman" w:hAnsi="Times New Roman"/>
      <w:kern w:val="0"/>
      <w:szCs w:val="21"/>
    </w:rPr>
  </w:style>
  <w:style w:type="paragraph" w:customStyle="1" w:styleId="13">
    <w:name w:val="No Spacing"/>
    <w:qFormat/>
    <w:uiPriority w:val="0"/>
    <w:pPr>
      <w:widowControl w:val="0"/>
      <w:spacing w:before="120" w:after="120" w:line="360" w:lineRule="auto"/>
      <w:jc w:val="both"/>
    </w:pPr>
    <w:rPr>
      <w:rFonts w:ascii="Calibri" w:hAnsi="Calibri" w:eastAsia="宋体" w:cs="Times New Roman"/>
      <w:b/>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5459</Words>
  <Characters>5558</Characters>
  <Lines>0</Lines>
  <Paragraphs>0</Paragraphs>
  <ScaleCrop>false</ScaleCrop>
  <LinksUpToDate>false</LinksUpToDate>
  <CharactersWithSpaces>5634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2017-09-08T02:01:00Z</dcterms:created>
  <dc:creator>htjs</dc:creator>
  <cp:lastModifiedBy>htjs</cp:lastModifiedBy>
  <dcterms:modified xsi:type="dcterms:W3CDTF">2017-09-08T08:15:11Z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